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the magician leads the two boys back to her villa, where she has promised them food and shelter.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Kestas et Willus, incantatorem Iulisa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m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attonit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nt. Kestas dicturus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primum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Iulisa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venite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cum,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ad meam villam. ibi ego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multum cibum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venite,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</w:rPr>
        <w:t>, venite!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Willus valde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ieiunus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itaque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nam 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Iulisa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multus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cibus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sed Kestas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anxius. 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fess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cum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Iulis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â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et leonibus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mox ad villam adven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eru</w:t>
      </w:r>
      <w:r>
        <w:rPr>
          <w:rFonts w:ascii="Helvetica"/>
          <w:b w:val="1"/>
          <w:bCs w:val="1"/>
          <w:sz w:val="24"/>
          <w:szCs w:val="24"/>
          <w:rtl w:val="0"/>
        </w:rPr>
        <w:t>nt.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magna mensa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in mens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magna cena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magnifica. Willus cenam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 et statim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cena!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ecce, Kestas, cena!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et Willus ad mensam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cenam celeriter devora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sed Kestas anxius man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quoque sunt multa animalia fera, spectantia...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dicturus</w:t>
      </w:r>
      <w:r>
        <w:rPr>
          <w:rFonts w:ascii="Helvetica"/>
          <w:sz w:val="24"/>
          <w:szCs w:val="24"/>
          <w:rtl w:val="0"/>
          <w:lang w:val="en-US"/>
        </w:rPr>
        <w:t xml:space="preserve"> - about to speak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villa = magna casa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mansi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remain, stay, wait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